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12</w:t>
      </w:r>
    </w:p>
    <w:p>
      <w:r>
        <w:t>Bundesgericht (BGE), 1978-04-26, DE</w:t>
      </w:r>
    </w:p>
    <w:p>
      <w:r>
        <w:rPr>
          <w:b/>
        </w:rPr>
        <w:t xml:space="preserve">Quelle: </w:t>
      </w:r>
      <w:r>
        <w:t>https://mcp.opencaselaw.ch/entscheid/bge_104 III 12</w:t>
      </w:r>
    </w:p>
    <w:p>
      <w:r>
        <w:t>FR: ATF 104 III 12</w:t>
      </w:r>
    </w:p>
    <w:p>
      <w:r>
        <w:t>IT: DTF 104 III 12</w:t>
      </w:r>
    </w:p>
    <w:p>
      <w:pPr>
        <w:pStyle w:val="Heading2"/>
      </w:pPr>
      <w:r>
        <w:t>Regeste</w:t>
      </w:r>
    </w:p>
    <w:p>
      <w:r>
        <w:t>Regeste Fehlerhafte Zustellung eines Zahlungsbefehls; Frist für Beschwerde und Rechtsvorschlag. Ein fehlerhaft zugestellter Zahlungsbefehl entfaltet seine Wirkung dennoch, sobald der Schuldner von ihm Kenntnis erhält. Die Frist zur Erhebung einer Beschwerde (gegen die Zustellung) oder eines Rechtsvorschlages beginnt in einem solchen Fall mit der tatsächlichen Kenntnisnahme zu laufen.</w:t>
      </w:r>
    </w:p>
    <w:p>
      <w:pPr>
        <w:pStyle w:val="Heading2"/>
      </w:pPr>
      <w:r>
        <w:t>Erwägungen</w:t>
      </w:r>
    </w:p>
    <w:p>
      <w:r>
        <w:rPr>
          <w:b/>
        </w:rPr>
        <w:t>E. 1</w:t>
      </w:r>
    </w:p>
    <w:p>
      <w:r>
        <w:t>Die Vorinstanz stellt fest, die Rekurrentin habe im Zeitpunkt der Übergabe des Zahlungsbefehls an ihre Mutter nicht mehr mit dieser in Hausgemeinschaft gelebt, und geht ferner davon aus, dass Frieda X. nicht ermächtigt gewesen sei, den Zahlungsbefehl für die Rekurrentin in Empfang zu nehmen. Indessen nimmt sie an, diese habe spätestens am 28. Januar 1978, an dem der Rechtsvorschlagserklärung beigefügten Datum, vom Zahlungsbefehl Kenntnis erlangt. Die kantonale Aufsichtsbehörde hält mit Recht dafür, der Zahlungsbefehl habe dadurch trotz der fehlerhaften Zustellung seine Wirkung entfaltet (vgl. BGE 88 III 15 ; BGE 61 III 158 , und es ist ihr auch darin beizupflichten, dass die am 13. Februar 1978 erhobene Beschwerde unter diesen Umständen verspätet war, soweit damit die Zustellung des Zahlungsbefehls angefochten wurde. Insofern ist die Vorinstanz daher auf die Beschwerde zu Recht nicht eingetreten und erweist sich der Rekurs als unbegründet.</w:t>
      </w:r>
    </w:p>
    <w:p>
      <w:r>
        <w:rPr>
          <w:b/>
        </w:rPr>
        <w:t>E. 2</w:t>
      </w:r>
    </w:p>
    <w:p>
      <w:r>
        <w:t>Den am 30. Januar 1978 erklärten Rechtsvorschlag erachtet die kantonale Aufsichtsbehörde als verspätet, weil die Frist des Art. 74 Abs. 1 SchKG mangels rechtzeitiger Anfechtung der Zustellung des Zahlungsbefehls mit dessen Übergabe an die Mutter der Rekurrentin, d.h. am 17. Januar 1978, zu laufen begonnen und demnach am 27. Januar 1978 geendet habe. Es kann ihr darin indessen nicht gefolgt werden. Wird bei einer fehlerhaften Zustellung zu Ungunsten des Schuldners angenommen, der Zahlungsbefehl entfalte seine Wirkung dennoch, sobald der Schuldner von ihm Kenntnis erlange, so ist für den Beginn der Frist zur Erklärung eines Rechtsvorschlages konsequenterweise der Tag der tatsächlichen Kenntnisnahme als massgebend zu betrachten. Der Schuldner darf nicht gezwungen sein, bei Gefahr der Verwirkung der Möglichkeit, BGE 104 III 12 S. 14 Recht vorzuschlagen, gegen die fehlerhafte Zustellung Beschwerde zu führen. Dispositiv Demnach erkennt die Schuldbetreibungs- und Konkurskammer: Der Rekurs wird insoweit gutgeheissen, als festgestellt wird, dass der Rechtsvorschlag der Rekurrentin in der Betreibung Nr.)... fristgemäss erhoben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